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SMLOUVA O POSKYTNUTÍ VEŘEJNÉ FINANČNÍ PODPORY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uzavřená podle ustanovení § 10a zákona č. 250/2000 Sb., o rozpočtových pravidlech územních rozpočtů, ve znění pozdějších předpisů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mezi smluvními stranami: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Obec  Budiměřice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 sídlem obecního Budiměřice 7, 288 02  Nymburk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IČO: 00239011,  zastoupená Bc. Markem Merhoutem, starostou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(dále jen „poskytovatel“)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XXXXXXX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  <w:t xml:space="preserve">se sídlem </w:t>
      </w:r>
      <w:r w:rsidDel="00000000" w:rsidR="00000000" w:rsidRPr="00000000">
        <w:rPr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  <w:t xml:space="preserve">, IČO: </w:t>
      </w:r>
      <w:r w:rsidDel="00000000" w:rsidR="00000000" w:rsidRPr="00000000">
        <w:rPr>
          <w:highlight w:val="yellow"/>
          <w:rtl w:val="0"/>
        </w:rPr>
        <w:t xml:space="preserve">XXXXXXXX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  <w:t xml:space="preserve">zastoupen </w:t>
      </w:r>
      <w:r w:rsidDel="00000000" w:rsidR="00000000" w:rsidRPr="00000000">
        <w:rPr>
          <w:highlight w:val="yellow"/>
          <w:rtl w:val="0"/>
        </w:rPr>
        <w:t xml:space="preserve">XXXXXXX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(dále jen „příjemce“)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Předmět smlouvy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I.1. Poskytovatel se touto smlouvou zavazuje poskytnout příjemci veřejnou finanční podporu (dotaci) v níže sjednané výši a příjemce se zavazuje tuto dotaci podporu použít pouze ke sjednanému účelu a splnit další povinnosti plynoucí pro něho z této smlouvy.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II.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Účel dotace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II.1. Dotace je poskytována na  </w:t>
      </w:r>
      <w:r w:rsidDel="00000000" w:rsidR="00000000" w:rsidRPr="00000000">
        <w:rPr>
          <w:highlight w:val="yellow"/>
          <w:rtl w:val="0"/>
        </w:rPr>
        <w:t xml:space="preserve">xxxxxxxx.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II.2. Příjemce je povinen použít dotaci pouze k účelu specifikovanému v čl. II. odst. II.1. Poskytnuté finanční prostředky nesmí být použity k jinému účelu a musí být použity pouze v souladu s písemnou žádostí příjemce ze dne </w:t>
      </w:r>
      <w:r w:rsidDel="00000000" w:rsidR="00000000" w:rsidRPr="00000000">
        <w:rPr>
          <w:highlight w:val="yellow"/>
          <w:rtl w:val="0"/>
        </w:rPr>
        <w:t xml:space="preserve">DD.MM.RRRR.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II.3. Z poskytnuté dotace lze za dodržení zásad hospodárnosti, účelnosti a efektivnosti hradit pouze následující výdaje vynaložené výhradně  na tzv. závazné parametry projektu.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1"/>
        <w:tblW w:w="9015.0" w:type="dxa"/>
        <w:jc w:val="left"/>
        <w:tblInd w:w="100.0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1005"/>
        <w:gridCol w:w="6135"/>
        <w:gridCol w:w="1875"/>
        <w:tblGridChange w:id="0">
          <w:tblGrid>
            <w:gridCol w:w="1005"/>
            <w:gridCol w:w="6135"/>
            <w:gridCol w:w="18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Množství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II.4. Z poskytnuté dotace nelze hradit nákup nemovitých věcí.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III.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Výše čerpání dotace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III.1. Poskytovatel poskytne příjemci dotaci ve výši maximálně ve výši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,- Kč (slovy: </w:t>
      </w:r>
      <w:r w:rsidDel="00000000" w:rsidR="00000000" w:rsidRPr="00000000">
        <w:rPr>
          <w:highlight w:val="yellow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), maximálně však ve výši 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% celkových skutečně vynaložených uznatelných finančních nákladů na realizaci projektu.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III.2. Dotace bude poskytnuta formou bezhotovostního bankovního převodu na účet příjemce č.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highlight w:val="yellow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vedený u </w:t>
      </w:r>
      <w:r w:rsidDel="00000000" w:rsidR="00000000" w:rsidRPr="00000000">
        <w:rPr>
          <w:highlight w:val="yellow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až po vyúčtování akce (ex post).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III.3. V případě, že příjemce použije finanční prostředky v rozporu s touto smlouvou nebo nevyčerpá všechny poskytnuté finanční prostředky na stanovený účel, je povinen vrátit poskytovateli takové finanční prostředky bezhotovostním bankovním převodem na účet č. 8823191/0100, vedený u Komerční banky, a.s., a to nejpozději do 15 dnů od doručení písemné výzvy poskytovatele k jejich vrácení.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IV.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Vyúčtování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IV.1. Po ukončení realizace akce předloží příjemce poskytovateli bez zbytečného odkladu, nejpozději však do </w:t>
      </w:r>
      <w:r w:rsidDel="00000000" w:rsidR="00000000" w:rsidRPr="00000000">
        <w:rPr>
          <w:highlight w:val="yellow"/>
          <w:rtl w:val="0"/>
        </w:rPr>
        <w:t xml:space="preserve">DD.MM.RRRR</w:t>
      </w:r>
      <w:r w:rsidDel="00000000" w:rsidR="00000000" w:rsidRPr="00000000">
        <w:rPr>
          <w:rtl w:val="0"/>
        </w:rPr>
        <w:t xml:space="preserve"> vyúčtování.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IV.2. Vyúčtování bude provedeno formou kopií písemností majících náležitosti účetních dokladů podle zvláštních právních předpisů s označením účetního dokladu prokazující celkovou výši skutečně vynaložených uznatelnýh finanční nákladů na realizaci projektu.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IV.3. Příjemce vedoucí účetnictví je povinen vést řádnou a oddělenou evidenci čerpání dotace v souladu se zákonem č. 563/1991 Sb., o účetnictví, ve znění pozdějších předpisů.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Časové užití dotace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V.1. Finanční prostředky poskytnuté jako veřejná finanční podpora v souladu s touto smlouvou jsou k použití do </w:t>
      </w:r>
      <w:r w:rsidDel="00000000" w:rsidR="00000000" w:rsidRPr="00000000">
        <w:rPr>
          <w:highlight w:val="yellow"/>
          <w:rtl w:val="0"/>
        </w:rPr>
        <w:t xml:space="preserve">DD.MM.RRRR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VI.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Kontrola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VI.1. Poskytovatel je v souladu se zákonem č. 320/2001 Sb., o finanční kontrole ve veřejné správě a o změně některých zákonů, ve znění pozdějších předpisů, oprávněn provádět u příjemce kontrolu účetnictví, případně dalších skutečností osvědčujících dodržování ustanovení této smlouvy.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VI.2. Příjemce je povinen poskytnout poskytovateli veškerou nutnou součinnosti při provádění kontroly podle čl. VI. odst. VI.1.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VII.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Sankce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VII.1.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VII.2. Za prodlení s odvodem za porušení rozpočtové kázně je příjemce povinen zaplatit penále ve výši 1 promile z částky odvodu za každý den prodlení, nejvýše však do výše tohoto odvodu.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VIII.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VIII.1. Vzájemná práva a povinnosti účastníků v této smlouvě výslovně neupravená se řídí příslušnými právními předpisy, zejména zákonem o rozpočtových pravidlech územních rozpočtů a občanským zákoníkem.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VIII.2. Poskytnutí dotace za podmínek v této smlouvě uvedených bylo schváleno zastupitelstvem obce Budiměřice, usnesením č. </w:t>
      </w:r>
      <w:r w:rsidDel="00000000" w:rsidR="00000000" w:rsidRPr="00000000">
        <w:rPr>
          <w:highlight w:val="yellow"/>
          <w:rtl w:val="0"/>
        </w:rPr>
        <w:t xml:space="preserve">XX/XXXX</w:t>
      </w:r>
      <w:r w:rsidDel="00000000" w:rsidR="00000000" w:rsidRPr="00000000">
        <w:rPr>
          <w:rtl w:val="0"/>
        </w:rPr>
        <w:t xml:space="preserve"> ze dne </w:t>
      </w:r>
      <w:r w:rsidDel="00000000" w:rsidR="00000000" w:rsidRPr="00000000">
        <w:rPr>
          <w:highlight w:val="yellow"/>
          <w:rtl w:val="0"/>
        </w:rPr>
        <w:t xml:space="preserve">DD.MM.RRRR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VIII.3. Příjemce je povinen bez zbytečného odkladu informovat poskytovatele o své přeměně (fúzi, rozdělení apod.) či vstupu do likvidace. V případě přeměny příjemce přecházejí práva a povinnosti z této smlouvy na právního nástupce.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VIII.4. Příjemce bere na vědomí, že tato smlouva, jakož i další dokumenty splněním této smlouvy související, které má či bude mít poskytovatel k dispozici, jsou informacemi, které je poskytovatel povinen poskytnout žadatelům, popř. zveřejnit, na základě zákona č. 106/1999 Sb., o svobodném přístupu k informacím, ve znění pozdějších předpisů.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VIII.5. Příjemce bere na vědomí, že v případě zjištění závažných nedostatků při realizaci akce, včetně nedodržení termínu odevzdání vyúčtování poskytovaných finančních prostředků, je poskytovatel oprávněn vyloučit v následujících dvou letech jeho žádosti o poskytnutí dotace z prostředků poskytovatele.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VIII.6. Tato smlouva je vyhotovena ve dvou stejnopisech, z nichž po jednom stejnopisu obdrží každá ze smluvních stran.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VIII.7. Smluvní strany shodně prohlašují, že jsou způsobilé k tomuto právnímu jednání, že si smlouvu před jejím podpisem přečetly, rozumí jí a s jejím obsahem souhlasí, a že ji uzavírají svobodně a vážně. Na důkaz výše uvedeného připojují své vlastnoruční podpisy.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  <w:t xml:space="preserve">V Budiměřicích dne </w:t>
      </w:r>
      <w:r w:rsidDel="00000000" w:rsidR="00000000" w:rsidRPr="00000000">
        <w:rPr>
          <w:highlight w:val="yellow"/>
          <w:rtl w:val="0"/>
        </w:rPr>
        <w:t xml:space="preserve">DD.MM.RRRR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Ind w:w="100.0" w:type="pct"/>
        <w:tblLayout w:type="fixed"/>
        <w:tblLook w:val="0600"/>
      </w:tblPr>
      <w:tblGrid>
        <w:gridCol w:w="3990"/>
        <w:gridCol w:w="585"/>
        <w:gridCol w:w="4440"/>
        <w:tblGridChange w:id="0">
          <w:tblGrid>
            <w:gridCol w:w="3990"/>
            <w:gridCol w:w="585"/>
            <w:gridCol w:w="44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Příjemce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Poskytovatel</w:t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